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6350" distL="0" distR="0">
            <wp:extent cx="5913120" cy="22606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3860" t="15734" r="35600" b="63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ПРИКАЗ №21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 01 ФЕВРАЛЯ 2020 года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«Об утверждении Тарифов на услуги, оказываемые в ПАО «Холмский морской торговый порт»</w:t>
      </w:r>
    </w:p>
    <w:p>
      <w:pPr>
        <w:pStyle w:val="Normal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целью комплексного обслуживания судов, пассажиров, операций с грузом, в том числе для их перевалки и других услуг, оказываемых ПАО «ХМТП», а также эффективного взаимодействия с другими видами транспорта</w:t>
      </w:r>
    </w:p>
    <w:p>
      <w:pPr>
        <w:pStyle w:val="Normal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</w:rPr>
        <w:t>ПРИКАЗЫВАЮ</w:t>
      </w:r>
      <w:r>
        <w:rPr>
          <w:rFonts w:cs="Times New Roman" w:ascii="Times New Roman" w:hAnsi="Times New Roman"/>
          <w:b/>
          <w:lang w:val="en-US"/>
        </w:rPr>
        <w:t>:</w:t>
      </w:r>
    </w:p>
    <w:p>
      <w:pPr>
        <w:pStyle w:val="Normal"/>
        <w:ind w:firstLine="567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  <w:lang w:val="en-U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Утвердить с 01 февраля 2020 года тарифы на услуги, оказываемые в ПАО «ХМТП» (Приложение № 1 к настоящему приказу).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Начальнику коммерческого отдела, при заключении договоров с клиентами порта, в обязательном порядке письменно уведомлять их о размере тарифов на услуги.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 №147 от 01.01.2020 года считать утратившим силу.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Генеральный директор</w:t>
        <w:tab/>
        <w:tab/>
        <w:tab/>
        <w:tab/>
        <w:tab/>
        <w:tab/>
        <w:t xml:space="preserve">       Н.В. Землянухин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Исп.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Демченко А.А.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+7 914 758 32 22</w:t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Style w:val="Style13"/>
          <w:rFonts w:cs="Calibri" w:ascii="Calibri" w:hAnsi="Calibri" w:asciiTheme="minorHAnsi" w:cstheme="minorHAnsi" w:hAnsiTheme="minorHAnsi"/>
          <w:bCs/>
          <w:color w:val="0D0D0D" w:themeColor="text1" w:themeTint="f2"/>
          <w:sz w:val="20"/>
          <w:szCs w:val="20"/>
        </w:rPr>
        <w:t>Приложение 1</w:t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Style w:val="Style13"/>
          <w:rFonts w:cs="Calibri" w:ascii="Calibri" w:hAnsi="Calibri" w:asciiTheme="minorHAnsi" w:cstheme="minorHAnsi" w:hAnsiTheme="minorHAnsi"/>
          <w:bCs/>
          <w:color w:val="0D0D0D" w:themeColor="text1" w:themeTint="f2"/>
          <w:sz w:val="20"/>
          <w:szCs w:val="20"/>
        </w:rPr>
        <w:t>К приказу №21 от 27.01</w:t>
      </w:r>
      <w:bookmarkStart w:id="0" w:name="_GoBack"/>
      <w:bookmarkEnd w:id="0"/>
      <w:r>
        <w:rPr>
          <w:rStyle w:val="Style13"/>
          <w:rFonts w:cs="Calibri" w:ascii="Calibri" w:hAnsi="Calibri" w:asciiTheme="minorHAnsi" w:cstheme="minorHAnsi" w:hAnsiTheme="minorHAnsi"/>
          <w:bCs/>
          <w:color w:val="0D0D0D" w:themeColor="text1" w:themeTint="f2"/>
          <w:sz w:val="20"/>
          <w:szCs w:val="20"/>
        </w:rPr>
        <w:t>.2020 г.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1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Тарифы на погрузку и выгрузку таможенных, транзитных и каботажных грузов, осуществляемые ПАО "Холмский морской торговый порт"</w:t>
      </w:r>
    </w:p>
    <w:p>
      <w:pPr>
        <w:pStyle w:val="Normal"/>
        <w:ind w:firstLine="698"/>
        <w:jc w:val="right"/>
        <w:rPr>
          <w:rFonts w:ascii="Calibri" w:hAnsi="Calibri" w:cs="Calibri" w:asciiTheme="minorHAnsi" w:cstheme="minorHAnsi" w:hAnsiTheme="minorHAnsi"/>
          <w:sz w:val="20"/>
          <w:szCs w:val="20"/>
        </w:rPr>
      </w:pPr>
      <w:bookmarkStart w:id="1" w:name="sub_10001"/>
      <w:bookmarkStart w:id="2" w:name="sub_10001"/>
      <w:bookmarkEnd w:id="2"/>
      <w:r>
        <w:rPr>
          <w:rFonts w:cs="Calibri" w:cstheme="minorHAnsi" w:ascii="Calibri" w:hAnsi="Calibri"/>
          <w:sz w:val="20"/>
          <w:szCs w:val="20"/>
        </w:rPr>
      </w:r>
    </w:p>
    <w:tbl>
      <w:tblPr>
        <w:tblW w:w="8964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1"/>
        <w:gridCol w:w="2639"/>
        <w:gridCol w:w="1282"/>
        <w:gridCol w:w="2204"/>
        <w:gridCol w:w="2268"/>
      </w:tblGrid>
      <w:tr>
        <w:trPr>
          <w:trHeight w:val="70" w:hRule="atLeast"/>
        </w:trPr>
        <w:tc>
          <w:tcPr>
            <w:tcW w:w="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2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Наименование груза</w:t>
            </w:r>
          </w:p>
        </w:tc>
        <w:tc>
          <w:tcPr>
            <w:tcW w:w="12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Тариф, руб.(РФ) без учета НДС</w:t>
            </w:r>
          </w:p>
        </w:tc>
      </w:tr>
      <w:tr>
        <w:trPr>
          <w:trHeight w:val="70" w:hRule="atLeast"/>
        </w:trPr>
        <w:tc>
          <w:tcPr>
            <w:tcW w:w="5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6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2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прямой вариант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с внутрипортовым перемещением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Груз навалом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т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0,00</w:t>
            </w:r>
          </w:p>
        </w:tc>
      </w:tr>
      <w:tr>
        <w:trPr>
          <w:trHeight w:val="399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Грузы в ящиках и без упаковки: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3" w:name="RANGE!B11"/>
            <w:bookmarkStart w:id="4" w:name="RANGE!B10"/>
            <w:bookmarkEnd w:id="3"/>
            <w:bookmarkEnd w:id="4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до 1500 кг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1 290,10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1 651,33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свыше 1500 кг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т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1 928,50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2 793,00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5" w:name="RANGE!B13"/>
            <w:bookmarkEnd w:id="5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Грузы в биг-бегах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т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422,40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549,60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Лом черных и цветных металлов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т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  <w:lang w:val="en-US"/>
              </w:rPr>
              <w:t>550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650,00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6" w:name="RANGE!B15"/>
            <w:bookmarkEnd w:id="6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Прокат, рельсы, трубы, металлоконструкции россыпью, в связках, в пакетах до 12м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т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748,80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1058,00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7" w:name="RANGE!B17"/>
            <w:bookmarkStart w:id="8" w:name="RANGE!B16"/>
            <w:bookmarkEnd w:id="7"/>
            <w:bookmarkEnd w:id="8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Длинномерные грузы свыше 12 метров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т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1 130,50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1 463,00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9" w:name="RANGE!B18"/>
            <w:bookmarkEnd w:id="9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Тяжеловесные грузы, свыше 20,0 тн.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т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1 928,50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2 793,00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10" w:name="RANGE!B19"/>
            <w:bookmarkEnd w:id="10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Объемные грузы с УПО более 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куб. м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867,13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1 255,85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11" w:name="RANGE!B20"/>
            <w:bookmarkEnd w:id="11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Автотехника до 5 т (крановый вариант)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4 322,50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5 852,00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12" w:name="RANGE!B21"/>
            <w:bookmarkEnd w:id="12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Автотехника свыше 5 т (крановый вариант)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5 685,75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7 647,50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13" w:name="RANGE!B22"/>
            <w:bookmarkEnd w:id="13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Ж/д платформы (накатный вариант)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14 080,00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17 100,00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Автотехника (накатный вариант) до 3,5т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7 000,00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Автотехника (накатный вариант) свыше  3,5т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11 900,00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16 900,00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Тяжеловесная и крупногабаритная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16 000,00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28 000,00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Мотоциклы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2 500,00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14" w:name="RANGE!B23"/>
            <w:bookmarkEnd w:id="14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Контейнеры: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15" w:name="RANGE!B24"/>
            <w:bookmarkEnd w:id="15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10 и 20 -футовые груженые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5 617,20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7 488,00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16" w:name="RANGE!B25"/>
            <w:bookmarkEnd w:id="16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10 и 20-футовые порожние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4 237,20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5 553,60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17" w:name="RANGE!B26"/>
            <w:bookmarkEnd w:id="17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10 и 20-футовые рефрижераторные груженые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6 739,20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8 985,60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18" w:name="RANGE!B27"/>
            <w:bookmarkEnd w:id="18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10 и 20-футовые рефрижераторные порожние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5 046,00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6 614,40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19" w:name="RANGE!B28"/>
            <w:bookmarkEnd w:id="19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30 и 40-футовые груженые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6 926,40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9 235,20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20" w:name="RANGE!B29"/>
            <w:bookmarkEnd w:id="20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30 и 40-футовые порожние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         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4 237,20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5 553,60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21" w:name="RANGE!B30"/>
            <w:bookmarkEnd w:id="21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30 и 40-футовые рефрижераторные груженые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8 311,20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10 984,80</w:t>
            </w:r>
          </w:p>
        </w:tc>
      </w:tr>
      <w:tr>
        <w:trPr>
          <w:trHeight w:val="70" w:hRule="atLeast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22" w:name="RANGE!B31"/>
            <w:bookmarkEnd w:id="22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30 и 40-футовые рефрижераторные порожние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5 046,00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6 614,40</w:t>
            </w:r>
          </w:p>
        </w:tc>
      </w:tr>
    </w:tbl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Style w:val="Style13"/>
          <w:rFonts w:cs="Calibri" w:ascii="Calibri" w:hAnsi="Calibri" w:asciiTheme="minorHAnsi" w:cstheme="minorHAnsi" w:hAnsiTheme="minorHAnsi"/>
          <w:bCs/>
          <w:sz w:val="20"/>
          <w:szCs w:val="20"/>
        </w:rPr>
        <w:t>Приложение 2</w:t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cstheme="minorHAnsi" w:ascii="Calibri" w:hAnsi="Calibri"/>
          <w:bCs/>
          <w:sz w:val="20"/>
          <w:szCs w:val="20"/>
        </w:rPr>
      </w:r>
    </w:p>
    <w:p>
      <w:pPr>
        <w:pStyle w:val="1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Тарифы на хранение грузов, осуществляемое ПАО "Холмский морской торговый порт"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tbl>
      <w:tblPr>
        <w:tblW w:w="8964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7"/>
        <w:gridCol w:w="3002"/>
        <w:gridCol w:w="1322"/>
        <w:gridCol w:w="2069"/>
        <w:gridCol w:w="1984"/>
      </w:tblGrid>
      <w:tr>
        <w:trPr>
          <w:trHeight w:val="70" w:hRule="atLeast"/>
        </w:trPr>
        <w:tc>
          <w:tcPr>
            <w:tcW w:w="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3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Наименование груза/тип хранения</w:t>
            </w:r>
          </w:p>
        </w:tc>
        <w:tc>
          <w:tcPr>
            <w:tcW w:w="13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0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Открытое хранение</w:t>
            </w: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Крытое хранение</w:t>
            </w:r>
          </w:p>
        </w:tc>
      </w:tr>
      <w:tr>
        <w:trPr>
          <w:trHeight w:val="70" w:hRule="atLeast"/>
        </w:trPr>
        <w:tc>
          <w:tcPr>
            <w:tcW w:w="5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30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405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c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 по 10 сутки включительно*</w:t>
            </w:r>
          </w:p>
        </w:tc>
      </w:tr>
      <w:tr>
        <w:trPr>
          <w:trHeight w:val="102" w:hRule="atLeast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Генеральные грузы:</w:t>
            </w:r>
          </w:p>
        </w:tc>
        <w:tc>
          <w:tcPr>
            <w:tcW w:w="13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0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  <w:lang w:val="en-US"/>
              </w:rPr>
            </w:pPr>
            <w:bookmarkStart w:id="23" w:name="RANGE!B4"/>
            <w:bookmarkEnd w:id="23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Грузы навалом</w:t>
            </w:r>
          </w:p>
        </w:tc>
        <w:tc>
          <w:tcPr>
            <w:tcW w:w="13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руб./тн/сут.</w:t>
            </w:r>
          </w:p>
        </w:tc>
        <w:tc>
          <w:tcPr>
            <w:tcW w:w="20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val="166" w:hRule="atLeast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24" w:name="RANGE!B5"/>
            <w:bookmarkEnd w:id="24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Грузы в ящиках, без упаковки, на паллетах, в пакетах и т.д. с УПО менее 1</w:t>
            </w:r>
          </w:p>
        </w:tc>
        <w:tc>
          <w:tcPr>
            <w:tcW w:w="13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руб./т/сут.</w:t>
            </w:r>
          </w:p>
        </w:tc>
        <w:tc>
          <w:tcPr>
            <w:tcW w:w="20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30</w:t>
            </w:r>
          </w:p>
        </w:tc>
      </w:tr>
      <w:tr>
        <w:trPr>
          <w:trHeight w:val="102" w:hRule="atLeast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25" w:name="RANGE!B6"/>
            <w:bookmarkEnd w:id="25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Грузы в ящиках, без упаковки, на паллетах, в пакетах и т.д. с УПО более 1</w:t>
            </w:r>
          </w:p>
        </w:tc>
        <w:tc>
          <w:tcPr>
            <w:tcW w:w="13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руб./м3/сут.</w:t>
            </w:r>
          </w:p>
        </w:tc>
        <w:tc>
          <w:tcPr>
            <w:tcW w:w="20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30</w:t>
            </w:r>
          </w:p>
        </w:tc>
      </w:tr>
      <w:tr>
        <w:trPr>
          <w:trHeight w:val="70" w:hRule="atLeast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bookmarkStart w:id="26" w:name="RANGE!B7"/>
            <w:bookmarkEnd w:id="26"/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Автотехника до 3,5 т</w:t>
            </w:r>
          </w:p>
        </w:tc>
        <w:tc>
          <w:tcPr>
            <w:tcW w:w="13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руб./ед./сут.</w:t>
            </w:r>
          </w:p>
        </w:tc>
        <w:tc>
          <w:tcPr>
            <w:tcW w:w="20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500</w:t>
            </w:r>
          </w:p>
        </w:tc>
      </w:tr>
      <w:tr>
        <w:trPr>
          <w:trHeight w:val="70" w:hRule="atLeast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Автотехника свыше 3,5 т</w:t>
            </w:r>
          </w:p>
        </w:tc>
        <w:tc>
          <w:tcPr>
            <w:tcW w:w="13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руб./ед./сут.</w:t>
            </w:r>
          </w:p>
        </w:tc>
        <w:tc>
          <w:tcPr>
            <w:tcW w:w="20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1 000</w:t>
            </w:r>
          </w:p>
        </w:tc>
      </w:tr>
      <w:tr>
        <w:trPr>
          <w:trHeight w:val="70" w:hRule="atLeast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Контейнеры:</w:t>
            </w:r>
          </w:p>
        </w:tc>
        <w:tc>
          <w:tcPr>
            <w:tcW w:w="13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Груженые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Порожние</w:t>
            </w:r>
          </w:p>
        </w:tc>
      </w:tr>
      <w:tr>
        <w:trPr>
          <w:trHeight w:val="70" w:hRule="atLeast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с 1 по 10 сутки включительно</w:t>
            </w:r>
          </w:p>
        </w:tc>
      </w:tr>
      <w:tr>
        <w:trPr>
          <w:trHeight w:val="70" w:hRule="atLeast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10 и 20 -футовые</w:t>
            </w:r>
          </w:p>
        </w:tc>
        <w:tc>
          <w:tcPr>
            <w:tcW w:w="13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руб./шт./сут.</w:t>
            </w:r>
          </w:p>
        </w:tc>
        <w:tc>
          <w:tcPr>
            <w:tcW w:w="20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1000</w:t>
            </w:r>
          </w:p>
        </w:tc>
      </w:tr>
      <w:tr>
        <w:trPr>
          <w:trHeight w:val="70" w:hRule="atLeast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30 и 40-футовые</w:t>
            </w:r>
          </w:p>
        </w:tc>
        <w:tc>
          <w:tcPr>
            <w:tcW w:w="13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руб./шт./сут.</w:t>
            </w:r>
          </w:p>
        </w:tc>
        <w:tc>
          <w:tcPr>
            <w:tcW w:w="20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1400</w:t>
            </w:r>
          </w:p>
        </w:tc>
      </w:tr>
      <w:tr>
        <w:trPr>
          <w:trHeight w:val="70" w:hRule="atLeast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10 и 20-футовые рефрижераторные</w:t>
            </w:r>
          </w:p>
        </w:tc>
        <w:tc>
          <w:tcPr>
            <w:tcW w:w="13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руб./шт./сут.</w:t>
            </w:r>
          </w:p>
        </w:tc>
        <w:tc>
          <w:tcPr>
            <w:tcW w:w="20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3500</w:t>
            </w:r>
          </w:p>
        </w:tc>
      </w:tr>
      <w:tr>
        <w:trPr>
          <w:trHeight w:val="70" w:hRule="atLeast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30 и 40-футовые рефрижераторные</w:t>
            </w:r>
          </w:p>
        </w:tc>
        <w:tc>
          <w:tcPr>
            <w:tcW w:w="13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руб./шт./сут.</w:t>
            </w:r>
          </w:p>
        </w:tc>
        <w:tc>
          <w:tcPr>
            <w:tcW w:w="20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4000</w:t>
            </w:r>
          </w:p>
        </w:tc>
      </w:tr>
      <w:tr>
        <w:trPr>
          <w:trHeight w:val="70" w:hRule="atLeast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77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26282F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26282F"/>
                <w:sz w:val="20"/>
                <w:szCs w:val="20"/>
              </w:rPr>
              <w:t>Подключение к электросети рефрижераторных контейнеров</w:t>
            </w:r>
          </w:p>
        </w:tc>
      </w:tr>
      <w:tr>
        <w:trPr>
          <w:trHeight w:val="70" w:hRule="atLeast"/>
        </w:trPr>
        <w:tc>
          <w:tcPr>
            <w:tcW w:w="5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Контейнеры всех размеров</w:t>
            </w:r>
          </w:p>
        </w:tc>
        <w:tc>
          <w:tcPr>
            <w:tcW w:w="13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руб./шт./час.</w:t>
            </w:r>
          </w:p>
        </w:tc>
        <w:tc>
          <w:tcPr>
            <w:tcW w:w="405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72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*Примечание: при хранении с 11 по 30 сутки применяется коэффициент равный 2 к изначальному тарифу;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при хранении свыше 30 суток применяется коэффициент равный 4 к изначальному тарифу;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при формировании судовой партии бесплатное хранение 5 суток;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бесплатное хранение не судовой партии для всех грузов 2 дня</w:t>
      </w:r>
    </w:p>
    <w:p>
      <w:pPr>
        <w:pStyle w:val="Normal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Тариф Приложения 2 указан без учета НДС</w:t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Style w:val="Style13"/>
          <w:rFonts w:cs="Calibri" w:ascii="Calibri" w:hAnsi="Calibri" w:asciiTheme="minorHAnsi" w:cstheme="minorHAnsi" w:hAnsiTheme="minorHAnsi"/>
          <w:bCs/>
          <w:color w:val="0D0D0D" w:themeColor="text1" w:themeTint="f2"/>
          <w:sz w:val="20"/>
          <w:szCs w:val="20"/>
        </w:rPr>
        <w:t>Приложение 3</w:t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12"/>
        <w:tabs>
          <w:tab w:val="left" w:pos="142" w:leader="none"/>
        </w:tabs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</w:rPr>
      </w:pPr>
      <w:bookmarkStart w:id="27" w:name="sub_3000"/>
      <w:bookmarkEnd w:id="27"/>
      <w:r>
        <w:rPr>
          <w:rFonts w:cs="Calibri" w:ascii="Calibri" w:hAnsi="Calibri" w:asciiTheme="minorHAnsi" w:cstheme="minorHAnsi" w:hAnsiTheme="minorHAnsi"/>
          <w:b/>
          <w:bCs/>
          <w:sz w:val="20"/>
        </w:rPr>
        <w:t>Оказание услуг по предоставлению причалов в порту Холмск</w:t>
      </w:r>
    </w:p>
    <w:tbl>
      <w:tblPr>
        <w:tblW w:w="10059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0"/>
        <w:gridCol w:w="5986"/>
        <w:gridCol w:w="1173"/>
        <w:gridCol w:w="2359"/>
      </w:tblGrid>
      <w:tr>
        <w:trPr>
          <w:trHeight w:val="555" w:hRule="atLeast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№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117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Тариф</w:t>
              <w:br/>
              <w:t>(руб. РФ) без учета НДС</w:t>
            </w:r>
          </w:p>
        </w:tc>
      </w:tr>
      <w:tr>
        <w:trPr>
          <w:trHeight w:val="82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Предоставление причала порта для стоянки судна (под российским флагом) вне зависимости от цели судозахода</w:t>
            </w:r>
          </w:p>
        </w:tc>
        <w:tc>
          <w:tcPr>
            <w:tcW w:w="117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м/сут</w:t>
            </w:r>
          </w:p>
        </w:tc>
        <w:tc>
          <w:tcPr>
            <w:tcW w:w="2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1 000</w:t>
            </w:r>
          </w:p>
        </w:tc>
      </w:tr>
      <w:tr>
        <w:trPr>
          <w:trHeight w:val="94" w:hRule="atLeast"/>
        </w:trPr>
        <w:tc>
          <w:tcPr>
            <w:tcW w:w="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8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Предоставление причала порта для стоянки судна (под иностранным  флагом) вне зависимости от цели судозахода</w:t>
            </w:r>
          </w:p>
        </w:tc>
        <w:tc>
          <w:tcPr>
            <w:tcW w:w="117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м/сут</w:t>
            </w:r>
          </w:p>
        </w:tc>
        <w:tc>
          <w:tcPr>
            <w:tcW w:w="2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1 000</w:t>
            </w:r>
          </w:p>
        </w:tc>
      </w:tr>
    </w:tbl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lef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Style w:val="Style13"/>
          <w:rFonts w:cs="Calibri" w:ascii="Calibri" w:hAnsi="Calibri" w:asciiTheme="minorHAnsi" w:cstheme="minorHAnsi" w:hAnsiTheme="minorHAnsi"/>
          <w:bCs/>
          <w:color w:val="0D0D0D" w:themeColor="text1" w:themeTint="f2"/>
          <w:sz w:val="20"/>
          <w:szCs w:val="20"/>
        </w:rPr>
        <w:t>*расчет происходит от наибольшей длины судна</w:t>
      </w:r>
    </w:p>
    <w:p>
      <w:pPr>
        <w:pStyle w:val="Normal"/>
        <w:ind w:firstLine="698"/>
        <w:jc w:val="lef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Style w:val="Style13"/>
          <w:rFonts w:cs="Calibri" w:ascii="Calibri" w:hAnsi="Calibri" w:asciiTheme="minorHAnsi" w:cstheme="minorHAnsi" w:hAnsiTheme="minorHAnsi"/>
          <w:bCs/>
          <w:color w:val="0D0D0D" w:themeColor="text1" w:themeTint="f2"/>
          <w:sz w:val="20"/>
          <w:szCs w:val="20"/>
        </w:rPr>
        <w:t>Приложение 4</w:t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center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Style w:val="Style13"/>
          <w:rFonts w:cs="Calibri" w:ascii="Calibri" w:hAnsi="Calibri" w:asciiTheme="minorHAnsi" w:cstheme="minorHAnsi" w:hAnsiTheme="minorHAnsi"/>
          <w:bCs/>
          <w:color w:val="0D0D0D" w:themeColor="text1" w:themeTint="f2"/>
          <w:sz w:val="20"/>
          <w:szCs w:val="20"/>
        </w:rPr>
        <w:t>Тариф на использование ж/д путей</w:t>
      </w:r>
    </w:p>
    <w:p>
      <w:pPr>
        <w:pStyle w:val="Normal"/>
        <w:ind w:firstLine="698"/>
        <w:jc w:val="lef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tbl>
      <w:tblPr>
        <w:tblStyle w:val="ac"/>
        <w:tblW w:w="10064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6"/>
        <w:gridCol w:w="5387"/>
      </w:tblGrid>
      <w:tr>
        <w:trPr/>
        <w:tc>
          <w:tcPr>
            <w:tcW w:w="46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Style w:val="Style13"/>
                <w:rFonts w:ascii="Calibri" w:hAnsi="Calibri" w:cs="Calibri" w:asciiTheme="minorHAnsi" w:cstheme="minorHAnsi" w:hAnsiTheme="minorHAnsi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Style w:val="Style13"/>
                <w:rFonts w:cs="Calibri" w:ascii="Calibri" w:hAnsi="Calibri" w:asciiTheme="minorHAnsi" w:cstheme="minorHAnsi" w:hAnsiTheme="minorHAnsi"/>
                <w:bCs/>
                <w:color w:val="0D0D0D" w:themeColor="text1" w:themeTint="f2"/>
                <w:sz w:val="20"/>
                <w:szCs w:val="20"/>
              </w:rPr>
              <w:t>1 вагон/сутки</w:t>
            </w:r>
          </w:p>
        </w:tc>
        <w:tc>
          <w:tcPr>
            <w:tcW w:w="53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Style w:val="Style13"/>
                <w:rFonts w:ascii="Calibri" w:hAnsi="Calibri" w:cs="Calibri" w:asciiTheme="minorHAnsi" w:cstheme="minorHAnsi" w:hAnsiTheme="minorHAnsi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Style w:val="Style13"/>
                <w:rFonts w:cs="Calibri" w:ascii="Calibri" w:hAnsi="Calibri" w:asciiTheme="minorHAnsi" w:cstheme="minorHAnsi" w:hAnsiTheme="minorHAnsi"/>
                <w:bCs/>
                <w:color w:val="0D0D0D" w:themeColor="text1" w:themeTint="f2"/>
                <w:sz w:val="20"/>
                <w:szCs w:val="20"/>
              </w:rPr>
              <w:t>4 000,00</w:t>
            </w:r>
          </w:p>
        </w:tc>
      </w:tr>
    </w:tbl>
    <w:p>
      <w:pPr>
        <w:pStyle w:val="Normal"/>
        <w:ind w:firstLine="698"/>
        <w:jc w:val="lef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Style w:val="Style13"/>
          <w:rFonts w:cs="Calibri" w:ascii="Calibri" w:hAnsi="Calibri" w:asciiTheme="minorHAnsi" w:cstheme="minorHAnsi" w:hAnsiTheme="minorHAnsi"/>
          <w:bCs/>
          <w:color w:val="0D0D0D" w:themeColor="text1" w:themeTint="f2"/>
          <w:sz w:val="20"/>
          <w:szCs w:val="20"/>
        </w:rPr>
        <w:t>Приложение 5</w:t>
      </w:r>
    </w:p>
    <w:p>
      <w:pPr>
        <w:pStyle w:val="Normal"/>
        <w:ind w:firstLine="698"/>
        <w:jc w:val="center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Style w:val="Style13"/>
          <w:rFonts w:cs="Calibri" w:ascii="Calibri" w:hAnsi="Calibri" w:asciiTheme="minorHAnsi" w:cstheme="minorHAnsi" w:hAnsiTheme="minorHAnsi"/>
          <w:bCs/>
          <w:color w:val="0D0D0D" w:themeColor="text1" w:themeTint="f2"/>
          <w:sz w:val="20"/>
          <w:szCs w:val="20"/>
        </w:rPr>
        <w:t>Ставки сборов на прочие услуги</w:t>
      </w:r>
    </w:p>
    <w:tbl>
      <w:tblPr>
        <w:tblW w:w="10059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9"/>
        <w:gridCol w:w="5647"/>
        <w:gridCol w:w="1513"/>
        <w:gridCol w:w="2359"/>
      </w:tblGrid>
      <w:tr>
        <w:trPr>
          <w:trHeight w:val="555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№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15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Тариф</w:t>
              <w:br/>
              <w:t>(руб. РФ) без учета НДС</w:t>
            </w:r>
          </w:p>
        </w:tc>
      </w:tr>
      <w:tr>
        <w:trPr>
          <w:trHeight w:val="82" w:hRule="atLeast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Портальный кран "Альбатрос", г/п 10-20 тонн</w:t>
            </w:r>
          </w:p>
        </w:tc>
        <w:tc>
          <w:tcPr>
            <w:tcW w:w="1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руб./час</w:t>
            </w:r>
          </w:p>
        </w:tc>
        <w:tc>
          <w:tcPr>
            <w:tcW w:w="2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14 000,00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Портальный кран "Кондор", г/п 40 тонн</w:t>
            </w:r>
          </w:p>
        </w:tc>
        <w:tc>
          <w:tcPr>
            <w:tcW w:w="1513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руб./час</w:t>
            </w:r>
          </w:p>
        </w:tc>
        <w:tc>
          <w:tcPr>
            <w:tcW w:w="2359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18 000,00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Автопогрузчик г/п 10 тонн</w:t>
            </w:r>
          </w:p>
        </w:tc>
        <w:tc>
          <w:tcPr>
            <w:tcW w:w="1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руб./час</w:t>
            </w:r>
          </w:p>
        </w:tc>
        <w:tc>
          <w:tcPr>
            <w:tcW w:w="2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8 000,00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Автопогрузчик г/п 1-5 тонн</w:t>
            </w:r>
          </w:p>
        </w:tc>
        <w:tc>
          <w:tcPr>
            <w:tcW w:w="1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руб./час</w:t>
            </w:r>
          </w:p>
        </w:tc>
        <w:tc>
          <w:tcPr>
            <w:tcW w:w="2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5 000,00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Автокран г/п 40 тонн</w:t>
            </w:r>
          </w:p>
        </w:tc>
        <w:tc>
          <w:tcPr>
            <w:tcW w:w="1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руб./час</w:t>
            </w:r>
          </w:p>
        </w:tc>
        <w:tc>
          <w:tcPr>
            <w:tcW w:w="2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8 000,00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Автокран 70</w:t>
            </w:r>
          </w:p>
        </w:tc>
        <w:tc>
          <w:tcPr>
            <w:tcW w:w="1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руб./час</w:t>
            </w:r>
          </w:p>
        </w:tc>
        <w:tc>
          <w:tcPr>
            <w:tcW w:w="2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15 000,00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Автокран 90</w:t>
            </w:r>
          </w:p>
        </w:tc>
        <w:tc>
          <w:tcPr>
            <w:tcW w:w="1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руб./час</w:t>
            </w:r>
          </w:p>
        </w:tc>
        <w:tc>
          <w:tcPr>
            <w:tcW w:w="2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20 000,00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Автокран 150</w:t>
            </w:r>
          </w:p>
        </w:tc>
        <w:tc>
          <w:tcPr>
            <w:tcW w:w="1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руб./час</w:t>
            </w:r>
          </w:p>
        </w:tc>
        <w:tc>
          <w:tcPr>
            <w:tcW w:w="2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30 000,00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Докер-механизатор</w:t>
            </w:r>
          </w:p>
        </w:tc>
        <w:tc>
          <w:tcPr>
            <w:tcW w:w="1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руб./час</w:t>
            </w:r>
          </w:p>
        </w:tc>
        <w:tc>
          <w:tcPr>
            <w:tcW w:w="2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2 500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Установка и снятие кранцевой защиты</w:t>
            </w:r>
          </w:p>
        </w:tc>
        <w:tc>
          <w:tcPr>
            <w:tcW w:w="1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операция</w:t>
            </w:r>
          </w:p>
        </w:tc>
        <w:tc>
          <w:tcPr>
            <w:tcW w:w="2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25 000,00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4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Организация бункеровки водой</w:t>
            </w:r>
          </w:p>
        </w:tc>
        <w:tc>
          <w:tcPr>
            <w:tcW w:w="151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1 т</w:t>
            </w:r>
          </w:p>
        </w:tc>
        <w:tc>
          <w:tcPr>
            <w:tcW w:w="235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1 000,00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Услуги швартовой группы :</w:t>
            </w:r>
          </w:p>
        </w:tc>
        <w:tc>
          <w:tcPr>
            <w:tcW w:w="15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2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righ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Модуль судна до 5 000 м3</w:t>
            </w:r>
          </w:p>
        </w:tc>
        <w:tc>
          <w:tcPr>
            <w:tcW w:w="15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1 операция</w:t>
            </w:r>
          </w:p>
        </w:tc>
        <w:tc>
          <w:tcPr>
            <w:tcW w:w="2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18 000,00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righ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Модуль судна от 5 001 до 20 000 м3</w:t>
            </w:r>
          </w:p>
        </w:tc>
        <w:tc>
          <w:tcPr>
            <w:tcW w:w="15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1 операция</w:t>
            </w:r>
          </w:p>
        </w:tc>
        <w:tc>
          <w:tcPr>
            <w:tcW w:w="2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26 000,00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righ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Модуль судна свыше 20 001 м3 </w:t>
            </w:r>
          </w:p>
        </w:tc>
        <w:tc>
          <w:tcPr>
            <w:tcW w:w="15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1 операция</w:t>
            </w:r>
          </w:p>
        </w:tc>
        <w:tc>
          <w:tcPr>
            <w:tcW w:w="2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39 000,00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5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righ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Аренда открытой площади</w:t>
            </w:r>
          </w:p>
        </w:tc>
        <w:tc>
          <w:tcPr>
            <w:tcW w:w="15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Руб./1м2/сутки</w:t>
            </w:r>
          </w:p>
        </w:tc>
        <w:tc>
          <w:tcPr>
            <w:tcW w:w="2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15,00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5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righ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Аренда крытой площади(холодный склад)</w:t>
            </w:r>
          </w:p>
        </w:tc>
        <w:tc>
          <w:tcPr>
            <w:tcW w:w="15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Руб./1м2/сутки</w:t>
            </w:r>
          </w:p>
        </w:tc>
        <w:tc>
          <w:tcPr>
            <w:tcW w:w="2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25,00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5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righ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Аренда закрытой площади (теплый склад)</w:t>
            </w:r>
          </w:p>
        </w:tc>
        <w:tc>
          <w:tcPr>
            <w:tcW w:w="15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Руб./1м2/сутки</w:t>
            </w:r>
          </w:p>
        </w:tc>
        <w:tc>
          <w:tcPr>
            <w:tcW w:w="2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62,00</w:t>
            </w:r>
          </w:p>
        </w:tc>
      </w:tr>
      <w:tr>
        <w:trPr>
          <w:trHeight w:val="94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5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righ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Организация предоставления причала для стоянки судна</w:t>
            </w:r>
          </w:p>
        </w:tc>
        <w:tc>
          <w:tcPr>
            <w:tcW w:w="15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м/сутки</w:t>
            </w:r>
          </w:p>
        </w:tc>
        <w:tc>
          <w:tcPr>
            <w:tcW w:w="23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ind w:hanging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1000</w:t>
            </w:r>
          </w:p>
        </w:tc>
      </w:tr>
    </w:tbl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Примечание: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Уровень тарифов согласно </w:t>
      </w:r>
      <w:r>
        <w:rPr>
          <w:rFonts w:cs="Times New Roman" w:ascii="Times New Roman" w:hAnsi="Times New Roman"/>
          <w:b/>
        </w:rPr>
        <w:t xml:space="preserve">приложения 5 </w:t>
      </w:r>
      <w:r>
        <w:rPr>
          <w:rFonts w:cs="Times New Roman" w:ascii="Times New Roman" w:hAnsi="Times New Roman"/>
        </w:rPr>
        <w:t xml:space="preserve">применяется к работам в рамках нормального режима работы ПАО «ХМТП» (пн - пт с 08-00 до 17-00, обед с 12-00 до 13-00, выходные дни: сб - вс, праздничные дни согласно производственного календаря РФ). В случаях выполнения работ сверх нормального режима работы ПАО «ХМТП» к тарифам </w:t>
      </w:r>
      <w:r>
        <w:rPr>
          <w:rFonts w:cs="Times New Roman" w:ascii="Times New Roman" w:hAnsi="Times New Roman"/>
          <w:b/>
        </w:rPr>
        <w:t>приложения 5</w:t>
      </w:r>
      <w:r>
        <w:rPr>
          <w:rFonts w:cs="Times New Roman" w:ascii="Times New Roman" w:hAnsi="Times New Roman"/>
        </w:rPr>
        <w:t xml:space="preserve"> применяется коэффициент равный 2,0;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В случае срочных работ, к тарифам </w:t>
      </w:r>
      <w:r>
        <w:rPr>
          <w:rFonts w:cs="Times New Roman" w:ascii="Times New Roman" w:hAnsi="Times New Roman"/>
          <w:b/>
        </w:rPr>
        <w:t>приложения 5</w:t>
      </w:r>
      <w:r>
        <w:rPr>
          <w:rFonts w:cs="Times New Roman" w:ascii="Times New Roman" w:hAnsi="Times New Roman"/>
        </w:rPr>
        <w:t xml:space="preserve"> применяется коэффициент 2,0. Под срочными работами понимаются работы, когда заключение договора на оказание услуг ПАО «ХМТП» и/или заблаговременный заказ услуг ПАО «ХМТП» за 24 часа не возможен;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К тарифам на предоставление техники и персонала: Неполный час учитывается как полный;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К тарифам на швартовые операции: Перетяжка судна вдоль причала менее длины судна считается как одна операция. Перетяжка судна вдоль причала более длины судна считается как две операции. Перетяжка судна от причала к причалу считается как две операции;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К тарифам на предоставление причалов: При расчете платежей по предоставлению причала, началом оказания услуги считается момент прибытия судна к причалу. Временем освобождения причала считается время освобождения судна от последнего швартового. Неполные сутки учитываются как полные. Дата подхода судна и дата отхода судна в совокупности считаются как одни сутки.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Тарифы указаны в рублях и не включают НДС, НДС начисляется в соответствии с законодательством РФ.</w:t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Cs/>
          <w:color w:val="0D0D0D" w:themeColor="text1" w:themeTint="f2"/>
          <w:sz w:val="20"/>
          <w:szCs w:val="20"/>
        </w:rPr>
      </w:r>
    </w:p>
    <w:p>
      <w:pPr>
        <w:pStyle w:val="Normal"/>
        <w:ind w:firstLine="698"/>
        <w:jc w:val="right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r>
        <w:rPr>
          <w:rStyle w:val="Style13"/>
          <w:rFonts w:cs="Calibri" w:ascii="Calibri" w:hAnsi="Calibri" w:asciiTheme="minorHAnsi" w:cstheme="minorHAnsi" w:hAnsiTheme="minorHAnsi"/>
          <w:bCs/>
          <w:color w:val="0D0D0D" w:themeColor="text1" w:themeTint="f2"/>
          <w:sz w:val="20"/>
          <w:szCs w:val="20"/>
        </w:rPr>
        <w:t>Приложение 6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b/>
          <w:color w:val="0D0D0D" w:themeColor="text1" w:themeTint="f2"/>
          <w:sz w:val="20"/>
          <w:szCs w:val="20"/>
        </w:rPr>
      </w:r>
    </w:p>
    <w:p>
      <w:pPr>
        <w:pStyle w:val="1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Правила</w:t>
        <w:br/>
        <w:t>применения тарифов на погрузку и выгрузку, хранение грузов, осуществляемые ПАО "Холмский морской торговый порт"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color w:val="0D0D0D" w:themeColor="text1" w:themeTint="f2"/>
          <w:sz w:val="20"/>
          <w:szCs w:val="20"/>
        </w:rPr>
      </w:r>
    </w:p>
    <w:p>
      <w:pPr>
        <w:pStyle w:val="1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28" w:name="sub_3100"/>
      <w:bookmarkEnd w:id="28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I. Общие положения</w:t>
      </w:r>
    </w:p>
    <w:p>
      <w:pPr>
        <w:pStyle w:val="Normal"/>
        <w:rPr/>
      </w:pPr>
      <w:bookmarkStart w:id="29" w:name="sub_3100"/>
      <w:bookmarkStart w:id="30" w:name="sub_3011"/>
      <w:bookmarkEnd w:id="29"/>
      <w:bookmarkEnd w:id="30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 xml:space="preserve">1.1. </w:t>
      </w:r>
      <w:hyperlink w:anchor="sub_1000">
        <w:r>
          <w:rPr>
            <w:rStyle w:val="Style14"/>
            <w:rFonts w:cs="Calibri" w:ascii="Calibri" w:hAnsi="Calibri" w:asciiTheme="minorHAnsi" w:cstheme="minorHAnsi" w:hAnsiTheme="minorHAnsi"/>
            <w:color w:val="0D0D0D" w:themeColor="text1" w:themeTint="f2"/>
            <w:sz w:val="20"/>
            <w:szCs w:val="20"/>
          </w:rPr>
          <w:t>Тарифы</w:t>
        </w:r>
      </w:hyperlink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 xml:space="preserve"> применяются для расчетов за погрузку и выгрузку, хранение грузов, осуществляемые ПАО "Холмский морской торговый порт" (далее - Порт).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31" w:name="sub_3011"/>
      <w:bookmarkStart w:id="32" w:name="sub_3012"/>
      <w:bookmarkEnd w:id="31"/>
      <w:bookmarkEnd w:id="32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1.2. Применение тарифов осуществляется в соответствии с действующим законодательством Российской Федерации.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33" w:name="sub_3012"/>
      <w:bookmarkStart w:id="34" w:name="sub_3013"/>
      <w:bookmarkEnd w:id="33"/>
      <w:bookmarkEnd w:id="34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1.3. Тарифы являются предельными максимальными.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35" w:name="sub_3013"/>
      <w:bookmarkStart w:id="36" w:name="sub_3014"/>
      <w:bookmarkEnd w:id="35"/>
      <w:bookmarkEnd w:id="36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1.4. Порт вправе применять тарифы на уровне или ниже предельного максимального уровня.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37" w:name="sub_3014"/>
      <w:bookmarkStart w:id="38" w:name="sub_3015"/>
      <w:bookmarkEnd w:id="37"/>
      <w:bookmarkEnd w:id="38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1.5. Тарифы указаны без учета налога на добавленную стоимость.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39" w:name="sub_3015"/>
      <w:bookmarkStart w:id="40" w:name="sub_3016"/>
      <w:bookmarkEnd w:id="39"/>
      <w:bookmarkEnd w:id="40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1.6. Тарифы рассчитаны на нормальное состояние груза по физическим, химическим и другим признакам, а также нормальное состояние тары и нормальным режимом рабочего времени Порта согласно производственного календаря РФ.</w:t>
      </w:r>
    </w:p>
    <w:p>
      <w:pPr>
        <w:pStyle w:val="Normal"/>
        <w:rPr>
          <w:rStyle w:val="Style13"/>
          <w:rFonts w:ascii="Calibri" w:hAnsi="Calibri" w:cs="Calibri" w:asciiTheme="minorHAnsi" w:cstheme="minorHAnsi" w:hAnsiTheme="minorHAnsi"/>
          <w:bCs/>
          <w:color w:val="0D0D0D" w:themeColor="text1" w:themeTint="f2"/>
          <w:sz w:val="20"/>
          <w:szCs w:val="20"/>
        </w:rPr>
      </w:pPr>
      <w:bookmarkStart w:id="41" w:name="sub_3016"/>
      <w:bookmarkStart w:id="42" w:name="sub_3017"/>
      <w:bookmarkEnd w:id="41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 xml:space="preserve">1.7. </w:t>
      </w:r>
      <w:bookmarkStart w:id="43" w:name="sub_3171"/>
      <w:bookmarkEnd w:id="42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В зависимости от вида перевозок грузов тарифы классифицируются на:</w:t>
      </w:r>
      <w:bookmarkEnd w:id="43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 xml:space="preserve"> </w:t>
      </w:r>
      <w:r>
        <w:rPr>
          <w:rStyle w:val="Style13"/>
          <w:rFonts w:cs="Calibri" w:ascii="Calibri" w:hAnsi="Calibri" w:asciiTheme="minorHAnsi" w:cstheme="minorHAnsi" w:hAnsiTheme="minorHAnsi"/>
          <w:bCs/>
          <w:color w:val="0D0D0D" w:themeColor="text1" w:themeTint="f2"/>
          <w:sz w:val="20"/>
          <w:szCs w:val="20"/>
        </w:rPr>
        <w:t>таможенные, транзитные и каботажные.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1.7.1. Таможенные - грузы, отправляемые с территории Порта за границу и грузы, прибывшие в Порт из-за границы;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1.7.2. Транзитные - грузы следующие через территорию РФ в таможенном транзите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1.7.3. Каботажные - грузы, перевозимые между морскими портами Российской Федерации.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44" w:name="sub_3172"/>
      <w:bookmarkEnd w:id="44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1.7.4. В зависимости от схемы погрузки и выгрузки грузов тарифы подразделяются на две группы: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прямой вариант (транспортное средство - транспортное средство);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с внутрипортовым перемещением (транспортное средство - склад - транспортное средство).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color w:val="0D0D0D" w:themeColor="text1" w:themeTint="f2"/>
          <w:sz w:val="20"/>
          <w:szCs w:val="20"/>
        </w:rPr>
      </w:r>
    </w:p>
    <w:p>
      <w:pPr>
        <w:pStyle w:val="1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45" w:name="sub_3200"/>
      <w:bookmarkEnd w:id="45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II. Перечень операций, стоимость которых включена в тарифы за осуществление погрузки и выгрузки грузов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0D0D0D" w:themeColor="text1" w:themeTint="f2"/>
          <w:sz w:val="20"/>
          <w:szCs w:val="20"/>
        </w:rPr>
      </w:pPr>
      <w:bookmarkStart w:id="46" w:name="sub_3200"/>
      <w:bookmarkStart w:id="47" w:name="sub_3021"/>
      <w:bookmarkEnd w:id="46"/>
      <w:bookmarkEnd w:id="47"/>
      <w:r>
        <w:rPr>
          <w:rFonts w:cs="Calibri" w:ascii="Calibri" w:hAnsi="Calibri" w:asciiTheme="minorHAnsi" w:cstheme="minorHAnsi" w:hAnsiTheme="minorHAnsi"/>
          <w:b/>
          <w:color w:val="0D0D0D" w:themeColor="text1" w:themeTint="f2"/>
          <w:sz w:val="20"/>
          <w:szCs w:val="20"/>
        </w:rPr>
        <w:t>2.1. Тарифы по таможенным, транзитным и каботажным грузам (с моря) по прямому варианту.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48" w:name="sub_3021"/>
      <w:bookmarkStart w:id="49" w:name="sub_3211"/>
      <w:bookmarkEnd w:id="48"/>
      <w:bookmarkEnd w:id="49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2.1.1. Согласование и формирование плана завоза грузов и сводного месячного графика обработки судов.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50" w:name="sub_3211"/>
      <w:bookmarkStart w:id="51" w:name="sub_3212"/>
      <w:bookmarkEnd w:id="50"/>
      <w:bookmarkEnd w:id="51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2.1.2. Освобождение грузов от крепления в транспортных средствах (за исключением специальных креплений).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52" w:name="sub_3212"/>
      <w:bookmarkStart w:id="53" w:name="sub_3213"/>
      <w:bookmarkEnd w:id="52"/>
      <w:bookmarkEnd w:id="53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2.1.3. Выгрузка грузов из судов и погрузка в транспортные средства, а также уборка сепарации, зачистка (уборка) рабочего места в трюме (за исключением загрязняющих грузов).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54" w:name="sub_3213"/>
      <w:bookmarkStart w:id="55" w:name="sub_3214"/>
      <w:bookmarkEnd w:id="54"/>
      <w:bookmarkEnd w:id="55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2.1.4. Документальное оформление приема груза.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56" w:name="sub_3214"/>
      <w:bookmarkStart w:id="57" w:name="sub_3215"/>
      <w:bookmarkEnd w:id="56"/>
      <w:bookmarkEnd w:id="57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2.1.5. Прием распорядительных документов (с разрешительными отметками государственных контролирующих органов) на отгрузку груза.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58" w:name="sub_3215"/>
      <w:bookmarkStart w:id="59" w:name="sub_3216"/>
      <w:bookmarkEnd w:id="58"/>
      <w:bookmarkEnd w:id="59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2.1.6. Крепление и сепарирование грузов в транспортных средствах (в соответствии с общими и специальными правилами перевозки грузов или техническими условиями погрузки и крепления грузов), исключая стоимость крепежных и сепарационных материалов, дополнительное крепление и сепарирование.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60" w:name="sub_3216"/>
      <w:bookmarkStart w:id="61" w:name="sub_3217"/>
      <w:bookmarkEnd w:id="60"/>
      <w:bookmarkEnd w:id="61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2.1.7. Составление обязательного комплекта транспортных документов и передача его грузовладельцу.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62" w:name="sub_3217"/>
      <w:bookmarkStart w:id="63" w:name="sub_3218"/>
      <w:bookmarkEnd w:id="62"/>
      <w:bookmarkEnd w:id="63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2.1.8. В случае отказа грузовладельца или его представителя от каких-либо операций, стоимость которых включена в тариф, величина тарифа не изменяется.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0D0D0D" w:themeColor="text1" w:themeTint="f2"/>
          <w:sz w:val="20"/>
          <w:szCs w:val="20"/>
        </w:rPr>
      </w:pPr>
      <w:bookmarkStart w:id="64" w:name="sub_3218"/>
      <w:bookmarkStart w:id="65" w:name="sub_3022"/>
      <w:bookmarkEnd w:id="64"/>
      <w:bookmarkEnd w:id="65"/>
      <w:r>
        <w:rPr>
          <w:rFonts w:cs="Calibri" w:ascii="Calibri" w:hAnsi="Calibri" w:asciiTheme="minorHAnsi" w:cstheme="minorHAnsi" w:hAnsiTheme="minorHAnsi"/>
          <w:b/>
          <w:color w:val="0D0D0D" w:themeColor="text1" w:themeTint="f2"/>
          <w:sz w:val="20"/>
          <w:szCs w:val="20"/>
        </w:rPr>
        <w:t>2.2. Тарифы по таможенным, транзитным и каботажным грузам (с моря) с внутрипортовым перемещением.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66" w:name="sub_3022"/>
      <w:bookmarkStart w:id="67" w:name="sub_3221"/>
      <w:bookmarkEnd w:id="66"/>
      <w:bookmarkEnd w:id="67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2.2.1. Согласование и формирование плана завоза грузов и сводного месячного графика обработки судов.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68" w:name="sub_3221"/>
      <w:bookmarkStart w:id="69" w:name="sub_3222"/>
      <w:bookmarkEnd w:id="68"/>
      <w:bookmarkEnd w:id="69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2.2.2. Освобождение грузов от крепления в транспортных средствах (за исключением специальных креплений).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70" w:name="sub_3222"/>
      <w:bookmarkStart w:id="71" w:name="sub_3223"/>
      <w:bookmarkEnd w:id="70"/>
      <w:bookmarkEnd w:id="71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2.2.3. Выгрузка грузов из судов на причал, с их укладкой, при необходимости, на площадках, а также уборка сепарации, зачистка (уборка) рабочего места в трюме (за исключением загрязняющих грузов).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72" w:name="sub_3223"/>
      <w:bookmarkStart w:id="73" w:name="sub_3224"/>
      <w:bookmarkEnd w:id="72"/>
      <w:bookmarkEnd w:id="73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2.2.4. Документальное оформление приема груза.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74" w:name="sub_3224"/>
      <w:bookmarkStart w:id="75" w:name="sub_3225"/>
      <w:bookmarkEnd w:id="74"/>
      <w:bookmarkEnd w:id="75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2.2.5. Подвозка грузов из зоны выгрузки до склада.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76" w:name="sub_3225"/>
      <w:bookmarkStart w:id="77" w:name="sub_3226"/>
      <w:bookmarkEnd w:id="76"/>
      <w:bookmarkEnd w:id="77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2.2.6. Внутрискладское перемещение грузов в Порту (исключая перемещения, связанные с выполнением поручений грузовладельцев, и в складах, принадлежащих грузовладельцам или арендуемых ими).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78" w:name="sub_3226"/>
      <w:bookmarkStart w:id="79" w:name="sub_3227"/>
      <w:bookmarkEnd w:id="78"/>
      <w:bookmarkEnd w:id="79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2.2.7. Зачистка (уборка) складских помещений и территории Порта (за исключением очистки от загрязняющих грузов).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80" w:name="sub_3227"/>
      <w:bookmarkStart w:id="81" w:name="sub_3228"/>
      <w:bookmarkEnd w:id="80"/>
      <w:bookmarkEnd w:id="81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2.2.8. Прием распорядительных документов (с разрешительными отметками государственных контролирующих органов) на отгрузку груза.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82" w:name="sub_3228"/>
      <w:bookmarkStart w:id="83" w:name="sub_3229"/>
      <w:bookmarkEnd w:id="82"/>
      <w:bookmarkEnd w:id="83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2.2.9. Подвозка грузов от складов к зоне погрузки в транспортные средства.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84" w:name="sub_3229"/>
      <w:bookmarkStart w:id="85" w:name="sub_5210"/>
      <w:bookmarkEnd w:id="84"/>
      <w:bookmarkEnd w:id="85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2.2.10. Погрузка грузов, находящихся в зоне погрузки, в транспортные средства.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86" w:name="sub_5210"/>
      <w:bookmarkStart w:id="87" w:name="sub_32211"/>
      <w:bookmarkEnd w:id="86"/>
      <w:bookmarkEnd w:id="87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2.2.11. Крепление и сепарирование грузов в транспортных средствах (в соответствии с общими и специальными правилами перевозки грузов или техническими условиями погрузки и крепления грузов), исключая стоимость крепежных и сепарационных материалов, дополнительное крепление и сепарирование.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88" w:name="sub_32211"/>
      <w:bookmarkStart w:id="89" w:name="sub_32212"/>
      <w:bookmarkEnd w:id="88"/>
      <w:bookmarkEnd w:id="89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2.2.12. Составление обязательного комплекта транспортных документов и передача его грузовладельцу.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90" w:name="sub_32212"/>
      <w:bookmarkStart w:id="91" w:name="sub_32213"/>
      <w:bookmarkEnd w:id="90"/>
      <w:bookmarkEnd w:id="91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2.2.13. Услуги Порта по экспедиторскому обслуживанию движения грузов внутри Порта.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92" w:name="sub_32213"/>
      <w:bookmarkStart w:id="93" w:name="sub_32214"/>
      <w:bookmarkEnd w:id="92"/>
      <w:bookmarkEnd w:id="93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2.2.14. В случае отказа грузовладельца или его представителя от каких-либо операций, стоимость которых включена в тариф, величина тарифа не изменяется.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0D0D0D" w:themeColor="text1" w:themeTint="f2"/>
          <w:sz w:val="20"/>
          <w:szCs w:val="20"/>
        </w:rPr>
      </w:pPr>
      <w:bookmarkStart w:id="94" w:name="sub_32214"/>
      <w:bookmarkStart w:id="95" w:name="sub_3023"/>
      <w:bookmarkEnd w:id="94"/>
      <w:bookmarkEnd w:id="95"/>
      <w:r>
        <w:rPr>
          <w:rFonts w:cs="Calibri" w:ascii="Calibri" w:hAnsi="Calibri" w:asciiTheme="minorHAnsi" w:cstheme="minorHAnsi" w:hAnsiTheme="minorHAnsi"/>
          <w:b/>
          <w:color w:val="0D0D0D" w:themeColor="text1" w:themeTint="f2"/>
          <w:sz w:val="20"/>
          <w:szCs w:val="20"/>
        </w:rPr>
        <w:t>2.3. Тарифы по таможенным, транзитным и каботажным грузам (на море) по прямому варианту.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96" w:name="sub_3023"/>
      <w:bookmarkStart w:id="97" w:name="sub_3231"/>
      <w:bookmarkEnd w:id="96"/>
      <w:bookmarkEnd w:id="97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2.3.1. Согласование и формирование плана завоза грузов и сводного месячного графика обработки судов.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98" w:name="sub_3231"/>
      <w:bookmarkStart w:id="99" w:name="sub_3232"/>
      <w:bookmarkEnd w:id="98"/>
      <w:bookmarkEnd w:id="99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2.3.2. Освобождение грузов от креплений (за исключением специальных креплений).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00" w:name="sub_3232"/>
      <w:bookmarkStart w:id="101" w:name="sub_3233"/>
      <w:bookmarkEnd w:id="100"/>
      <w:bookmarkEnd w:id="101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2.3.3. Документальное оформление приема груза.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02" w:name="sub_3233"/>
      <w:bookmarkStart w:id="103" w:name="sub_3234"/>
      <w:bookmarkEnd w:id="102"/>
      <w:bookmarkEnd w:id="103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2.3.4. Выгрузка грузов из транспортных средств и погрузка в суда, уборка сепарации, зачистка (уборка) рабочего места в транспортных средствах (за исключением очистки от загрязняющих грузов).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04" w:name="sub_3234"/>
      <w:bookmarkStart w:id="105" w:name="sub_3235"/>
      <w:bookmarkEnd w:id="104"/>
      <w:bookmarkEnd w:id="105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2.3.5. Прием распорядительных документов (с разрешительными отметками государственных контролирующих органов) на отгрузку груза.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06" w:name="sub_3235"/>
      <w:bookmarkStart w:id="107" w:name="sub_3236"/>
      <w:bookmarkEnd w:id="106"/>
      <w:bookmarkEnd w:id="107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2.3.6. Крепление и сепарирование грузов в транспортных средствах (в соответствии с общими и специальными правилами перевозки грузов или техническими условиями погрузки и крепления грузов), исключая стоимость крепежных и сепарационных материалов, дополнительное крепление и сепарирование.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08" w:name="sub_3236"/>
      <w:bookmarkStart w:id="109" w:name="sub_3237"/>
      <w:bookmarkEnd w:id="108"/>
      <w:bookmarkEnd w:id="109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2.3.7. Составление обязательного комплекта транспортных документов и передача его грузовладельцу.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10" w:name="sub_3237"/>
      <w:bookmarkStart w:id="111" w:name="sub_3238"/>
      <w:bookmarkEnd w:id="110"/>
      <w:bookmarkEnd w:id="111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2.3.8. В случае отказа грузовладельца или его представителя от каких-либо операций, стоимость которых включена в тариф, величина тарифа не изменяется.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color w:val="0D0D0D" w:themeColor="text1" w:themeTint="f2"/>
          <w:sz w:val="20"/>
          <w:szCs w:val="20"/>
        </w:rPr>
      </w:pPr>
      <w:bookmarkStart w:id="112" w:name="sub_3238"/>
      <w:bookmarkStart w:id="113" w:name="sub_3024"/>
      <w:bookmarkEnd w:id="112"/>
      <w:bookmarkEnd w:id="113"/>
      <w:r>
        <w:rPr>
          <w:rFonts w:cs="Calibri" w:ascii="Calibri" w:hAnsi="Calibri" w:asciiTheme="minorHAnsi" w:cstheme="minorHAnsi" w:hAnsiTheme="minorHAnsi"/>
          <w:b/>
          <w:color w:val="0D0D0D" w:themeColor="text1" w:themeTint="f2"/>
          <w:sz w:val="20"/>
          <w:szCs w:val="20"/>
        </w:rPr>
        <w:t>2.4. Тарифы по таможенным, транзитным и каботажным грузам (на море) с внутрипортовым перемещением.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14" w:name="sub_3024"/>
      <w:bookmarkStart w:id="115" w:name="sub_3241"/>
      <w:bookmarkEnd w:id="114"/>
      <w:bookmarkEnd w:id="115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2.4.1. Согласование и формирование плана завоза грузов и сводного месячного графика обработки судов.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16" w:name="sub_3241"/>
      <w:bookmarkStart w:id="117" w:name="sub_3242"/>
      <w:bookmarkEnd w:id="116"/>
      <w:bookmarkEnd w:id="117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2.4.2. Освобождение грузов от креплений (за исключением специальных креплений).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18" w:name="sub_3242"/>
      <w:bookmarkStart w:id="119" w:name="sub_3243"/>
      <w:bookmarkEnd w:id="118"/>
      <w:bookmarkEnd w:id="119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2.4.3. Документальное оформление приема груза.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20" w:name="sub_3243"/>
      <w:bookmarkStart w:id="121" w:name="sub_3244"/>
      <w:bookmarkEnd w:id="120"/>
      <w:bookmarkEnd w:id="121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2.4.4. Выгрузка грузов из транспортных средств в зону выгрузки, с их укладкой, при необходимости на площадках, уборка сепарации, зачистка (уборка) рабочего места в транспортных средствах (за исключением очистки от загрязняющих грузов).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22" w:name="sub_3244"/>
      <w:bookmarkStart w:id="123" w:name="sub_3245"/>
      <w:bookmarkEnd w:id="122"/>
      <w:bookmarkEnd w:id="123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2.4.5. Подвозка грузов из зоны выгрузки до склада.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24" w:name="sub_3245"/>
      <w:bookmarkStart w:id="125" w:name="sub_3246"/>
      <w:bookmarkEnd w:id="124"/>
      <w:bookmarkEnd w:id="125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2.4.6. Внутрискладское перемещение грузов в Порту (исключая перемещения, связанные с выполнением поручений грузовладельцев, и в складах, принадлежащих грузовладельцам или арендуемых ими).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26" w:name="sub_3246"/>
      <w:bookmarkStart w:id="127" w:name="sub_3247"/>
      <w:bookmarkEnd w:id="126"/>
      <w:bookmarkEnd w:id="127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2.4.7. Зачистка (уборка) складских помещений и территории Порта (за исключением очистки от загрязняющих грузов).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28" w:name="sub_3247"/>
      <w:bookmarkStart w:id="129" w:name="sub_3248"/>
      <w:bookmarkEnd w:id="128"/>
      <w:bookmarkEnd w:id="129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2.4.8. Прием распорядительных документов (с разрешительными отметками государственных контролирующих органов) на отгрузку груза.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30" w:name="sub_3248"/>
      <w:bookmarkStart w:id="131" w:name="sub_3249"/>
      <w:bookmarkEnd w:id="130"/>
      <w:bookmarkEnd w:id="131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2.4.9. Подвозка грузов из складов Порта до борта судна.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32" w:name="sub_3249"/>
      <w:bookmarkStart w:id="133" w:name="sub_32410"/>
      <w:bookmarkEnd w:id="132"/>
      <w:bookmarkEnd w:id="133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2.4.10. Погрузка грузов, находящихся в зоне погрузки, на судно.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34" w:name="sub_32410"/>
      <w:bookmarkStart w:id="135" w:name="sub_32411"/>
      <w:bookmarkEnd w:id="134"/>
      <w:bookmarkEnd w:id="135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2.4.11. Крепление и сепарирование грузов в транспортных средствах (в соответствии с общими и специальными правилами перевозки грузов или техническими условиями погрузки и крепления грузов), исключая стоимость крепежных и сепарационных материалов, дополнительное крепление и сепарирование.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36" w:name="sub_32411"/>
      <w:bookmarkStart w:id="137" w:name="sub_32412"/>
      <w:bookmarkEnd w:id="136"/>
      <w:bookmarkEnd w:id="137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2.4.12. Составление обязательного комплекта транспортных документов и передача его грузовладельцу.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38" w:name="sub_32412"/>
      <w:bookmarkStart w:id="139" w:name="sub_32413"/>
      <w:bookmarkEnd w:id="138"/>
      <w:bookmarkEnd w:id="139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2.4.13. Услуги Порта по экспедиторскому обслуживанию движения грузов внутри Порта.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40" w:name="sub_32413"/>
      <w:bookmarkStart w:id="141" w:name="sub_32414"/>
      <w:bookmarkEnd w:id="140"/>
      <w:bookmarkEnd w:id="141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2.4.14. В случае отказа грузовладельца или его представителя от каких-либо операций, стоимость которых включена в тариф, величина тарифа не изменяется.</w:t>
      </w:r>
    </w:p>
    <w:p>
      <w:pPr>
        <w:pStyle w:val="Normal"/>
        <w:rPr/>
      </w:pPr>
      <w:bookmarkStart w:id="142" w:name="sub_32414"/>
      <w:bookmarkEnd w:id="142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 xml:space="preserve">2.4.15 Все работы и услуги, связанные с погрузкой и выгрузкой грузов и не перечисленные в </w:t>
      </w:r>
      <w:hyperlink w:anchor="sub_3200">
        <w:r>
          <w:rPr>
            <w:rStyle w:val="Style14"/>
            <w:rFonts w:cs="Calibri" w:ascii="Calibri" w:hAnsi="Calibri" w:asciiTheme="minorHAnsi" w:cstheme="minorHAnsi" w:hAnsiTheme="minorHAnsi"/>
            <w:color w:val="0D0D0D" w:themeColor="text1" w:themeTint="f2"/>
            <w:sz w:val="20"/>
            <w:szCs w:val="20"/>
          </w:rPr>
          <w:t>главе II</w:t>
        </w:r>
      </w:hyperlink>
      <w:bookmarkStart w:id="143" w:name="sub_3025"/>
      <w:bookmarkEnd w:id="143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, оплачиваются в соответствии с договорными отношениями.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color w:val="0D0D0D" w:themeColor="text1" w:themeTint="f2"/>
          <w:sz w:val="20"/>
          <w:szCs w:val="20"/>
        </w:rPr>
      </w:r>
    </w:p>
    <w:p>
      <w:pPr>
        <w:pStyle w:val="1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color w:val="0D0D0D" w:themeColor="text1" w:themeTint="f2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1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44" w:name="sub_3300"/>
      <w:bookmarkEnd w:id="144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III. Применение тарифов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cstheme="minorHAnsi" w:ascii="Calibri" w:hAnsi="Calibri"/>
          <w:color w:val="0D0D0D" w:themeColor="text1" w:themeTint="f2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45" w:name="sub_3031"/>
      <w:bookmarkEnd w:id="145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3.1. Определение тарифов за погрузку и выгрузку, хранение грузов.</w:t>
      </w:r>
    </w:p>
    <w:p>
      <w:pPr>
        <w:pStyle w:val="Normal"/>
        <w:rPr/>
      </w:pPr>
      <w:bookmarkStart w:id="146" w:name="sub_3031"/>
      <w:bookmarkStart w:id="147" w:name="sub_3311"/>
      <w:bookmarkEnd w:id="146"/>
      <w:bookmarkEnd w:id="147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 xml:space="preserve">3.1.1. Определение тарифов за погрузку и выгрузку экспортно-импортных и каботажных грузов производится в соответствии с номенклатурой грузов </w:t>
      </w:r>
      <w:hyperlink w:anchor="sub_1000">
        <w:r>
          <w:rPr>
            <w:rStyle w:val="Style14"/>
            <w:rFonts w:cs="Calibri" w:ascii="Calibri" w:hAnsi="Calibri" w:asciiTheme="minorHAnsi" w:cstheme="minorHAnsi" w:hAnsiTheme="minorHAnsi"/>
            <w:color w:val="0D0D0D" w:themeColor="text1" w:themeTint="f2"/>
            <w:sz w:val="20"/>
            <w:szCs w:val="20"/>
          </w:rPr>
          <w:t>приложения 1</w:t>
        </w:r>
      </w:hyperlink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 xml:space="preserve"> к настоящему приказу.</w:t>
      </w:r>
    </w:p>
    <w:p>
      <w:pPr>
        <w:pStyle w:val="Normal"/>
        <w:rPr/>
      </w:pPr>
      <w:bookmarkStart w:id="148" w:name="sub_3311"/>
      <w:bookmarkStart w:id="149" w:name="sub_3312"/>
      <w:bookmarkEnd w:id="148"/>
      <w:bookmarkEnd w:id="149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 xml:space="preserve">3.1.2. Определение тарифов за хранение экспортных, импортных и каботажных грузов производится в соответствии с номенклатурой грузов </w:t>
      </w:r>
      <w:hyperlink w:anchor="sub_2000">
        <w:r>
          <w:rPr>
            <w:rStyle w:val="Style14"/>
            <w:rFonts w:cs="Calibri" w:ascii="Calibri" w:hAnsi="Calibri" w:asciiTheme="minorHAnsi" w:cstheme="minorHAnsi" w:hAnsiTheme="minorHAnsi"/>
            <w:color w:val="0D0D0D" w:themeColor="text1" w:themeTint="f2"/>
            <w:sz w:val="20"/>
            <w:szCs w:val="20"/>
          </w:rPr>
          <w:t>приложения 2</w:t>
        </w:r>
      </w:hyperlink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 xml:space="preserve"> к настоящему приказу.</w:t>
      </w:r>
    </w:p>
    <w:p>
      <w:pPr>
        <w:pStyle w:val="Normal"/>
        <w:rPr/>
      </w:pPr>
      <w:bookmarkStart w:id="150" w:name="sub_3312"/>
      <w:bookmarkStart w:id="151" w:name="sub_3313"/>
      <w:bookmarkEnd w:id="150"/>
      <w:bookmarkEnd w:id="151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 xml:space="preserve">3.1.3. По грузам, не подходящим под приведенную в </w:t>
      </w:r>
      <w:hyperlink w:anchor="sub_1000">
        <w:r>
          <w:rPr>
            <w:rStyle w:val="Style14"/>
            <w:rFonts w:cs="Calibri" w:ascii="Calibri" w:hAnsi="Calibri" w:asciiTheme="minorHAnsi" w:cstheme="minorHAnsi" w:hAnsiTheme="minorHAnsi"/>
            <w:color w:val="0D0D0D" w:themeColor="text1" w:themeTint="f2"/>
            <w:sz w:val="20"/>
            <w:szCs w:val="20"/>
          </w:rPr>
          <w:t>приложениях 1</w:t>
        </w:r>
      </w:hyperlink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 xml:space="preserve"> и </w:t>
      </w:r>
      <w:hyperlink w:anchor="sub_2000">
        <w:r>
          <w:rPr>
            <w:rStyle w:val="Style14"/>
            <w:rFonts w:cs="Calibri" w:ascii="Calibri" w:hAnsi="Calibri" w:asciiTheme="minorHAnsi" w:cstheme="minorHAnsi" w:hAnsiTheme="minorHAnsi"/>
            <w:color w:val="0D0D0D" w:themeColor="text1" w:themeTint="f2"/>
            <w:sz w:val="20"/>
            <w:szCs w:val="20"/>
          </w:rPr>
          <w:t>2</w:t>
        </w:r>
      </w:hyperlink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 xml:space="preserve"> к настоящему приказу классификацию, применяются максимальные тарифы, предусмотренные для грузов с аналогичным видом упаковки, либо близким по свойствам.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52" w:name="sub_3313"/>
      <w:bookmarkStart w:id="153" w:name="sub_3032"/>
      <w:bookmarkEnd w:id="152"/>
      <w:bookmarkEnd w:id="153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3.2. Количество грузов, принимаемое для расчетов, определяется на основании данных перевозочных документов и соответствующих актов, составляемых в процессе транспортировки и приема-передачи груза, а также по клиентским справкам.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54" w:name="sub_3032"/>
      <w:bookmarkStart w:id="155" w:name="sub_3321"/>
      <w:bookmarkEnd w:id="154"/>
      <w:bookmarkEnd w:id="155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3.2.1. При исчислении платы за погрузку и выгрузку грузов используется одна из следующих расчетных единиц количества груза: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метрическая тонна;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кубический метр;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количество единиц (контейнеры, автотехника).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56" w:name="sub_3322"/>
      <w:bookmarkEnd w:id="156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3.2.2. Масса груза по отдельной отправке менее 100 кг принимается к расчету как 100 кг.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Масса груза каждого наименования, сданного в количестве до 10 т включительно, округляется до 100 кг, считая неполные 100 кг за 100 кг, а масса груза каждого наименования, сданного в количестве более 10 т, округляется до полной тонны, считая неполную тонну за полную тонну.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Кубические метры по каждому наименованию грузов округляются до целых кубических метров, считая неполный кубический метр за полный.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Округление массы производится по каждому коносаменту (накладной).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57" w:name="sub_3323"/>
      <w:bookmarkEnd w:id="157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3.2.3. К расчетам принимается масса груза брутто с учетом тары и дополнительных приспособлений, и оборудования, используемых при перевозке.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D0D0D" w:themeColor="text1" w:themeTint="f2"/>
          <w:sz w:val="20"/>
          <w:szCs w:val="20"/>
        </w:rPr>
      </w:pPr>
      <w:bookmarkStart w:id="158" w:name="sub_3323"/>
      <w:bookmarkStart w:id="159" w:name="sub_3033"/>
      <w:bookmarkEnd w:id="158"/>
      <w:bookmarkEnd w:id="159"/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3.3. Стоимость погрузки и выгрузки грузов определяется путем умножения тарифа на количество груза.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bookmarkStart w:id="160" w:name="sub_3033"/>
      <w:bookmarkStart w:id="161" w:name="sub_3034"/>
      <w:bookmarkEnd w:id="160"/>
      <w:bookmarkEnd w:id="161"/>
      <w:r>
        <w:rPr>
          <w:rFonts w:cs="Calibri" w:ascii="Calibri" w:hAnsi="Calibri" w:asciiTheme="minorHAnsi" w:cstheme="minorHAnsi" w:hAnsiTheme="minorHAnsi"/>
          <w:sz w:val="20"/>
          <w:szCs w:val="20"/>
        </w:rPr>
        <w:t>3.4. Определение количества дней хранения.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bookmarkStart w:id="162" w:name="sub_3034"/>
      <w:bookmarkStart w:id="163" w:name="sub_3341"/>
      <w:bookmarkEnd w:id="162"/>
      <w:bookmarkEnd w:id="163"/>
      <w:r>
        <w:rPr>
          <w:rFonts w:cs="Calibri" w:ascii="Calibri" w:hAnsi="Calibri" w:asciiTheme="minorHAnsi" w:cstheme="minorHAnsi" w:hAnsiTheme="minorHAnsi"/>
          <w:sz w:val="20"/>
          <w:szCs w:val="20"/>
        </w:rPr>
        <w:t>3.4.1. Первым днем хранения является дата приема груза на склад Порта в соответствии с датой оформления.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bookmarkStart w:id="164" w:name="sub_3341"/>
      <w:bookmarkStart w:id="165" w:name="sub_3342"/>
      <w:bookmarkEnd w:id="164"/>
      <w:bookmarkEnd w:id="165"/>
      <w:r>
        <w:rPr>
          <w:rFonts w:cs="Calibri" w:ascii="Calibri" w:hAnsi="Calibri" w:asciiTheme="minorHAnsi" w:cstheme="minorHAnsi" w:hAnsiTheme="minorHAnsi"/>
          <w:sz w:val="20"/>
          <w:szCs w:val="20"/>
        </w:rPr>
        <w:t>3.4.2. Последним днем считается день выдачи Портом груза грузовладельцу или передачи груза перевозчику.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bookmarkStart w:id="166" w:name="sub_3342"/>
      <w:bookmarkStart w:id="167" w:name="sub_3343"/>
      <w:bookmarkEnd w:id="166"/>
      <w:bookmarkEnd w:id="167"/>
      <w:r>
        <w:rPr>
          <w:rFonts w:cs="Calibri" w:ascii="Calibri" w:hAnsi="Calibri" w:asciiTheme="minorHAnsi" w:cstheme="minorHAnsi" w:hAnsiTheme="minorHAnsi"/>
          <w:sz w:val="20"/>
          <w:szCs w:val="20"/>
        </w:rPr>
        <w:t>3.4.3. Неполные сутки хранения принимаются за полные.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bookmarkStart w:id="168" w:name="sub_3343"/>
      <w:bookmarkStart w:id="169" w:name="sub_3035"/>
      <w:bookmarkEnd w:id="168"/>
      <w:r>
        <w:rPr>
          <w:rFonts w:cs="Calibri" w:ascii="Calibri" w:hAnsi="Calibri" w:asciiTheme="minorHAnsi" w:cstheme="minorHAnsi" w:hAnsiTheme="minorHAnsi"/>
          <w:sz w:val="20"/>
          <w:szCs w:val="20"/>
        </w:rPr>
        <w:t>3.5. Стоимость хранения экспортных, импортных и каботажных грузов начисляется с 3-го дня, после приема груза на склад</w:t>
      </w:r>
      <w:bookmarkEnd w:id="169"/>
      <w:r>
        <w:rPr>
          <w:rFonts w:cs="Calibri" w:ascii="Calibri" w:hAnsi="Calibri" w:asciiTheme="minorHAnsi" w:cstheme="minorHAnsi" w:hAnsiTheme="minorHAnsi"/>
          <w:sz w:val="20"/>
          <w:szCs w:val="20"/>
        </w:rPr>
        <w:t>.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bookmarkStart w:id="170" w:name="sub_3036"/>
      <w:bookmarkEnd w:id="170"/>
      <w:r>
        <w:rPr>
          <w:rFonts w:cs="Calibri" w:ascii="Calibri" w:hAnsi="Calibri" w:asciiTheme="minorHAnsi" w:cstheme="minorHAnsi" w:hAnsiTheme="minorHAnsi"/>
          <w:sz w:val="20"/>
          <w:szCs w:val="20"/>
        </w:rPr>
        <w:t>3.6. В случае возврата груза грузовладельцу при отказе его от дальнейшей перевозки, время платного хранения определяется датами приема груза Портом и выдачи груза грузовладельцу.</w:t>
      </w:r>
    </w:p>
    <w:p>
      <w:pPr>
        <w:pStyle w:val="Normal"/>
        <w:rPr/>
      </w:pPr>
      <w:bookmarkStart w:id="171" w:name="sub_3036"/>
      <w:bookmarkStart w:id="172" w:name="sub_3037"/>
      <w:bookmarkEnd w:id="171"/>
      <w:bookmarkEnd w:id="172"/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3.7. Стоимость хранения грузов после истечения срока хранения без взимания оплаты (тарифа) оплачивается по тарифам за хранение грузов, </w:t>
      </w:r>
      <w:r>
        <w:rPr>
          <w:rFonts w:cs="Calibri" w:ascii="Calibri" w:hAnsi="Calibri" w:asciiTheme="minorHAnsi" w:cstheme="minorHAnsi" w:hAnsiTheme="minorHAnsi"/>
          <w:color w:val="0D0D0D" w:themeColor="text1" w:themeTint="f2"/>
          <w:sz w:val="20"/>
          <w:szCs w:val="20"/>
        </w:rPr>
        <w:t>указанным в</w:t>
      </w:r>
      <w:r>
        <w:rPr>
          <w:rFonts w:cs="Calibri" w:ascii="Calibri" w:hAnsi="Calibri" w:asciiTheme="minorHAnsi" w:cstheme="minorHAnsi" w:hAnsiTheme="minorHAnsi"/>
          <w:b/>
          <w:color w:val="0D0D0D" w:themeColor="text1" w:themeTint="f2"/>
          <w:sz w:val="20"/>
          <w:szCs w:val="20"/>
        </w:rPr>
        <w:t xml:space="preserve"> </w:t>
      </w:r>
      <w:hyperlink w:anchor="sub_2000">
        <w:r>
          <w:rPr>
            <w:rStyle w:val="Style14"/>
            <w:rFonts w:cs="Calibri" w:ascii="Calibri" w:hAnsi="Calibri" w:asciiTheme="minorHAnsi" w:cstheme="minorHAnsi" w:hAnsiTheme="minorHAnsi"/>
            <w:b w:val="false"/>
            <w:color w:val="0D0D0D" w:themeColor="text1" w:themeTint="f2"/>
            <w:sz w:val="20"/>
            <w:szCs w:val="20"/>
          </w:rPr>
          <w:t>приложении 2</w:t>
        </w:r>
      </w:hyperlink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к настоящему приказу, путем умножения тарифа на количество дней хранения и на количество груза.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3.8. При расчете стоимости услуг по предоставлению причалов для стоянки судна </w:t>
      </w:r>
      <w:r>
        <w:rPr>
          <w:rFonts w:cs="Calibri" w:ascii="Calibri" w:hAnsi="Calibri" w:asciiTheme="minorHAnsi" w:cstheme="minorHAnsi" w:hAnsiTheme="minorHAnsi"/>
          <w:color w:val="000000"/>
          <w:sz w:val="20"/>
          <w:szCs w:val="20"/>
        </w:rPr>
        <w:t>вне зависимости от цели судозахода.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, началом оказания услуги считается момент прибытия судна к причалу, время освобождения причала считается время освобождения судна от последнего швартового. Неполные сутки стоимости услуг по предоставления причалов учитывается как полные. Дата подхода и дата отхода в совокупности считаются как одни сутки. 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bookmarkStart w:id="173" w:name="sub_3037"/>
      <w:bookmarkStart w:id="174" w:name="sub_3038"/>
      <w:bookmarkEnd w:id="173"/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3.9. Уровень тарифов согласно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приложения 1 и 5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применяется к работам в рамках нормального режима работы порта. В случаях выполнения работ сверх нормального режима работы порта к тарифам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приложения 1 и 5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применяется коэффициент равный 2,0.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3.10.  При горизонтальной погрузке-выгрузке применяется коэффициент равный 0,5.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3.11.  При выгрузке груза, имеющего класс опасности, к тарифу применяется коэффициент равный 2,0.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3.13. При выгрузке-погрузке мороженной продукции применяется коэффициент равный 2,0.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3.14. Для контейнеров, превышающих допустимый вес, применяется коэффициент равный 2,0.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bookmarkStart w:id="175" w:name="sub_3038"/>
      <w:bookmarkEnd w:id="175"/>
      <w:r>
        <w:rPr>
          <w:rFonts w:cs="Calibri" w:ascii="Calibri" w:hAnsi="Calibri" w:asciiTheme="minorHAnsi" w:cstheme="minorHAnsi" w:hAnsiTheme="minorHAnsi"/>
          <w:sz w:val="20"/>
          <w:szCs w:val="20"/>
        </w:rPr>
        <w:t>3.15. Для штивки борт-борт применяется тариф по прямому варианту, для штивки борт-причал-борт применяется тариф по внутрипортовому варианту.</w:t>
      </w:r>
    </w:p>
    <w:p>
      <w:pPr>
        <w:pStyle w:val="Normal"/>
        <w:ind w:firstLine="698"/>
        <w:jc w:val="left"/>
        <w:rPr/>
      </w:pPr>
      <w:r>
        <w:rPr/>
      </w:r>
    </w:p>
    <w:sectPr>
      <w:type w:val="nextPage"/>
      <w:pgSz w:w="11906" w:h="16800"/>
      <w:pgMar w:left="1276" w:right="985" w:header="0" w:top="567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2843"/>
    <w:pPr>
      <w:widowControl w:val="false"/>
      <w:bidi w:val="0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uiPriority w:val="99"/>
    <w:qFormat/>
    <w:rsid w:val="00002843"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002843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13" w:customStyle="1">
    <w:name w:val="Цветовое выделение"/>
    <w:uiPriority w:val="99"/>
    <w:qFormat/>
    <w:rsid w:val="00002843"/>
    <w:rPr>
      <w:b/>
      <w:color w:val="26282F"/>
    </w:rPr>
  </w:style>
  <w:style w:type="character" w:styleId="Style14" w:customStyle="1">
    <w:name w:val="Гипертекстовая ссылка"/>
    <w:basedOn w:val="Style13"/>
    <w:uiPriority w:val="99"/>
    <w:qFormat/>
    <w:rsid w:val="00002843"/>
    <w:rPr>
      <w:rFonts w:cs="Times New Roman"/>
      <w:b/>
      <w:color w:val="106BBE"/>
    </w:rPr>
  </w:style>
  <w:style w:type="character" w:styleId="Annotationreference">
    <w:name w:val="annotation reference"/>
    <w:basedOn w:val="DefaultParagraphFont"/>
    <w:uiPriority w:val="99"/>
    <w:qFormat/>
    <w:rsid w:val="00002843"/>
    <w:rPr>
      <w:rFonts w:cs="Times New Roman"/>
      <w:sz w:val="16"/>
      <w:szCs w:val="16"/>
    </w:rPr>
  </w:style>
  <w:style w:type="character" w:styleId="Style15" w:customStyle="1">
    <w:name w:val="Текст примечания Знак"/>
    <w:basedOn w:val="DefaultParagraphFont"/>
    <w:link w:val="a7"/>
    <w:uiPriority w:val="99"/>
    <w:qFormat/>
    <w:rsid w:val="00002843"/>
    <w:rPr>
      <w:rFonts w:ascii="Times New Roman CYR" w:hAnsi="Times New Roman CYR" w:eastAsia="" w:cs="Times New Roman CYR" w:eastAsiaTheme="minorEastAsia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002843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 w:customStyle="1">
    <w:name w:val="Прижатый влево"/>
    <w:basedOn w:val="Normal"/>
    <w:uiPriority w:val="99"/>
    <w:qFormat/>
    <w:rsid w:val="00002843"/>
    <w:pPr>
      <w:ind w:hanging="0"/>
      <w:jc w:val="left"/>
    </w:pPr>
    <w:rPr/>
  </w:style>
  <w:style w:type="paragraph" w:styleId="12" w:customStyle="1">
    <w:name w:val="Обычный1"/>
    <w:qFormat/>
    <w:rsid w:val="00002843"/>
    <w:pPr>
      <w:widowControl/>
      <w:bidi w:val="0"/>
      <w:spacing w:lineRule="auto" w:line="259" w:before="220" w:after="0"/>
      <w:ind w:firstLine="380"/>
      <w:jc w:val="both"/>
    </w:pPr>
    <w:rPr>
      <w:rFonts w:ascii="Arial" w:hAnsi="Arial" w:eastAsia="" w:cs="Times New Roman" w:eastAsiaTheme="minorEastAsia"/>
      <w:color w:val="auto"/>
      <w:kern w:val="0"/>
      <w:sz w:val="24"/>
      <w:szCs w:val="20"/>
      <w:lang w:eastAsia="ru-RU" w:val="ru-RU" w:bidi="ar-SA"/>
    </w:rPr>
  </w:style>
  <w:style w:type="paragraph" w:styleId="ConsPlusNormal" w:customStyle="1">
    <w:name w:val="ConsPlusNormal"/>
    <w:qFormat/>
    <w:rsid w:val="00002843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Annotationtext">
    <w:name w:val="annotation text"/>
    <w:basedOn w:val="Normal"/>
    <w:link w:val="a8"/>
    <w:uiPriority w:val="99"/>
    <w:qFormat/>
    <w:rsid w:val="00002843"/>
    <w:pPr/>
    <w:rPr>
      <w:sz w:val="20"/>
      <w:szCs w:val="20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002843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ba3"/>
    <w:pPr>
      <w:widowControl/>
      <w:spacing w:lineRule="auto" w:line="259" w:before="0" w:after="160"/>
      <w:ind w:left="720" w:hanging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e904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LibreOffice/5.4.3.2$Windows_X86_64 LibreOffice_project/92a7159f7e4af62137622921e809f8546db437e5</Application>
  <Pages>18</Pages>
  <Words>2546</Words>
  <Characters>15730</Characters>
  <CharactersWithSpaces>17891</CharactersWithSpaces>
  <Paragraphs>440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2020-01-30T01:20:00Z</dcterms:created>
  <dc:creator>Олег Гришин</dc:creator>
  <dc:description/>
  <dc:language>ru-RU</dc:language>
  <cp:lastModifiedBy>Анна Алексеевна Демченко</cp:lastModifiedBy>
  <cp:lastPrinted>2020-01-30T03:05:00Z</cp:lastPrinted>
  <dcterms:modified xsi:type="dcterms:W3CDTF">2020-01-30T03:05:00Z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